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9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关于2025批次办公类物资新增品牌补充提交资质材料的通知</w:t>
      </w:r>
    </w:p>
    <w:p w14:paraId="182CD3B6">
      <w:pPr>
        <w:rPr>
          <w:rFonts w:hint="eastAsia"/>
        </w:rPr>
      </w:pPr>
    </w:p>
    <w:p w14:paraId="1E9A2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各供应商：</w:t>
      </w:r>
    </w:p>
    <w:p w14:paraId="68669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</w:t>
      </w:r>
      <w:bookmarkStart w:id="0" w:name="OLE_LINK1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2025批次办公类物资新增品牌审核</w:t>
      </w:r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工作的整体安排，结合前期品牌资质材料收集及初审情况，现将后续提报工作相关事宜通知如下：</w:t>
      </w:r>
    </w:p>
    <w:p w14:paraId="05180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一、材料提报安排</w:t>
      </w:r>
    </w:p>
    <w:p w14:paraId="1232A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请各供应商参照线上及线下模板要求，提报新增品牌申请材料。前期材料未提交、材料不全或初审评分未达到50分的品牌，可在本次通知期限内按要求补充或重新提报。</w:t>
      </w:r>
    </w:p>
    <w:p w14:paraId="39121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二、提报时间及方式</w:t>
      </w:r>
    </w:p>
    <w:p w14:paraId="30DBE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958" w:leftChars="304" w:hanging="320" w:hangingChars="1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材料提报截止时间：2025年11月30日24:00</w:t>
      </w:r>
    </w:p>
    <w:p w14:paraId="5BCC9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958" w:leftChars="304" w:hanging="320" w:hangingChars="1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提报方式：线上提交，请登录商户中心，找到“品牌申</w:t>
      </w:r>
    </w:p>
    <w:p w14:paraId="3FC67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  <w:t>请”菜单，按照线上收集模板要求，准确填报信息并上传电子版文件，线上提交模板详见附件2。线下提交，请按照线下收集模板附件3准备电子材料，发送至邮箱bzjs@jitiqiye.com。</w:t>
      </w:r>
    </w:p>
    <w:p w14:paraId="20F64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  <w:t>邮件主题格式：品牌名称 + 供应商名称 + 提交日期</w:t>
      </w:r>
    </w:p>
    <w:p w14:paraId="302D0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  <w:t>逾期未提交或未按要求提交的，视为自动放弃本次品牌入驻申请。本次补充提交后，最终审核结果将在专区首页公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示公告，接受社会监督，仍不满足入驻要求的，2025批次将不再受理相应品牌审核及标准库入库事宜。</w:t>
      </w:r>
    </w:p>
    <w:p w14:paraId="113EC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  <w:t>资料提报模版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highlight w:val="none"/>
          <w:lang w:val="en-US" w:eastAsia="zh-CN"/>
        </w:rPr>
        <w:t>详见附件，相关操作的培训视频及线下材料提交的示例统一发送至集货商邮箱。</w:t>
      </w:r>
    </w:p>
    <w:p w14:paraId="4E78A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三、注意事项</w:t>
      </w:r>
    </w:p>
    <w:p w14:paraId="6C15E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结合前期材料初审常见问题，请各供应商在提报时重点关注以下事项，确保材料规范、完整：</w:t>
      </w:r>
    </w:p>
    <w:p w14:paraId="52D1C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（一）企业基础资质</w:t>
      </w:r>
    </w:p>
    <w:p w14:paraId="4775F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1.填写的品牌名称须与商标注册证、营业执照等主体名称严格一致。</w:t>
      </w:r>
    </w:p>
    <w:p w14:paraId="389D0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2.如涉及商标转让，须提供列明转让人信息的品牌注册证，可提交转让后的品牌商资质材料。</w:t>
      </w:r>
    </w:p>
    <w:p w14:paraId="4ECC0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3.如涉及商标授权，须提供商标持有人的资质材料，提供被授权人的资质材料无效。</w:t>
      </w:r>
    </w:p>
    <w:p w14:paraId="15F4C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4.纳税人资格证明须为带有税务机构盖章的扫描件，网页截图不予计分。</w:t>
      </w:r>
    </w:p>
    <w:p w14:paraId="298A3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5.品牌注册证（R标或TM标）的覆盖范围须包含拟上架商品品类，否则不予计分。</w:t>
      </w:r>
    </w:p>
    <w:p w14:paraId="6E12B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（二）企业质量管理资质能力</w:t>
      </w:r>
    </w:p>
    <w:p w14:paraId="34CCC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1.质量、环境、职业健康、自愿性认证等四类证书，须为品牌商和产品生产商在有效期内的有效证书，且适用范围覆盖拟上架商品。</w:t>
      </w:r>
    </w:p>
    <w:p w14:paraId="3BE85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2.非自主生产的品牌商，须同时提供产品实际生产商的相应证书。</w:t>
      </w:r>
    </w:p>
    <w:p w14:paraId="3E6E8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3.绿色认证证书按照提报数量对应不同分值。</w:t>
      </w:r>
    </w:p>
    <w:p w14:paraId="60A65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（三）资源实力</w:t>
      </w:r>
    </w:p>
    <w:p w14:paraId="701CD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1.专利须为“发明专利”，实用新型专利不予计分；专利内容须与上架商品相关。</w:t>
      </w:r>
    </w:p>
    <w:p w14:paraId="30F6E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2.创新能力相关标准文件内容须与上架商品相关，否则不予计分。</w:t>
      </w:r>
    </w:p>
    <w:p w14:paraId="1B01E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3.生产设备必须包含合同，合同中设备明细需与发票明细对应，材料清晰可辨。</w:t>
      </w:r>
    </w:p>
    <w:p w14:paraId="04700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5110D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（四）供货能力</w:t>
      </w:r>
    </w:p>
    <w:p w14:paraId="02B9B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1.业绩材料应为近三年内与央国企或政府机关签订的合同及对应发票，非上述主体的合同不计分。材料内容须清晰可辨。</w:t>
      </w:r>
    </w:p>
    <w:p w14:paraId="10494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2.服务网点相关产权证或租赁合同主体须与品牌商主体一致，发票信息与租赁合同主体一致。</w:t>
      </w:r>
    </w:p>
    <w:p w14:paraId="6F652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请各供应商严格参照上述要求准备并按时提交材料，感谢配合！</w:t>
      </w:r>
    </w:p>
    <w:p w14:paraId="422E7115">
      <w:pPr>
        <w:rPr>
          <w:rFonts w:hint="eastAsia"/>
        </w:rPr>
      </w:pPr>
    </w:p>
    <w:p w14:paraId="27651395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A61B3"/>
    <w:rsid w:val="0BD231D1"/>
    <w:rsid w:val="1967405F"/>
    <w:rsid w:val="2D88302B"/>
    <w:rsid w:val="2F0A61B3"/>
    <w:rsid w:val="301201D1"/>
    <w:rsid w:val="336D27D3"/>
    <w:rsid w:val="54E702A4"/>
    <w:rsid w:val="55346855"/>
    <w:rsid w:val="61013B81"/>
    <w:rsid w:val="6B4668B4"/>
    <w:rsid w:val="6D1334AF"/>
    <w:rsid w:val="78CC3561"/>
    <w:rsid w:val="7E1A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00bbdf90-b294-432a-97f6-f86ddd35d376</errorID>
      <errorWord>发送到</errorWord>
      <group>L1_Word</group>
      <groupName>字词问题</groupName>
      <ability>L2_Typo</ability>
      <abilityName>字词错误</abilityName>
      <candidateList>
        <item>发送至</item>
      </candidateList>
      <explain>存在字形相近字词的误用。</explain>
      <paraID>3FC67B95</paraID>
      <start>109</start>
      <end>112</end>
      <status>modified</status>
      <modifiedWord>发送至</modifiedWord>
      <trackRevisions>false</trackRevisions>
    </reviewItem>
    <reviewItem>
      <errorID>cdb3d87c-ba1f-4384-84cb-f4bfd52bbf76</errorID>
      <errorWord>3，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1B01EB12</paraID>
      <start>0</start>
      <end>2</end>
      <status>modified</status>
      <modifiedWord>3.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057218d-23f3-4338-ad04-79bded2301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1027</Words>
  <Characters>1076</Characters>
  <Lines>0</Lines>
  <Paragraphs>0</Paragraphs>
  <TotalTime>0</TotalTime>
  <ScaleCrop>false</ScaleCrop>
  <LinksUpToDate>false</LinksUpToDate>
  <CharactersWithSpaces>1080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2025-11-24T03:44:00Z</dcterms:created>
  <dc:creator>HP</dc:creator>
  <cp:lastModifiedBy>ELLEN1407777200</cp:lastModifiedBy>
  <cp:lastPrinted>2025-11-25T03:28:00Z</cp:lastPrinted>
  <dcterms:modified xsi:type="dcterms:W3CDTF">2025-11-25T03:49:38Z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BABC645541264919BB2AF52DAF38C468_13</vt:lpwstr>
  </property>
  <property fmtid="{D5CDD505-2E9C-101B-9397-08002B2CF9AE}" pid="4" name="KSOTemplateDocerSaveRecord">
    <vt:lpwstr>eyJoZGlkIjoiYWFiZmI0ODYwNjRmMDJkNjFkZjg3YmRmODVkZTlmZjEiLCJ1c2VySWQiOiIxOTk4MTkwOSJ9</vt:lpwstr>
  </property>
</Properties>
</file>