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日至202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本期供应商履约违规情况涉及价格违规且未及时按要求调整、品类覆盖率不足、优选标准商品库提报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标准商品覆盖率低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绿色通道提报商品覆盖率低、未按协议维护订单状态、未按协议要求维护订单物流信息、好评率低商品，共涉及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17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0.40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京东、领先未来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3.15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京东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详见表1、表2。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both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5457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688"/>
        <w:gridCol w:w="675"/>
        <w:gridCol w:w="816"/>
        <w:gridCol w:w="615"/>
        <w:gridCol w:w="615"/>
        <w:gridCol w:w="615"/>
        <w:gridCol w:w="615"/>
        <w:gridCol w:w="615"/>
        <w:gridCol w:w="657"/>
        <w:gridCol w:w="619"/>
        <w:gridCol w:w="396"/>
        <w:gridCol w:w="685"/>
        <w:gridCol w:w="800"/>
        <w:gridCol w:w="863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5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35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329" w:type="pct"/>
            <w:gridSpan w:val="7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80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44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5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价格违规且未及时按要求调整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优选标准商品库提报的标准商品覆盖率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绿色通道提报商品覆盖率低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未按协议要求维护订单物流信息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5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40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44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50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8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1094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海信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兄弟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夏普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得力集团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50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</w:tr>
    </w:tbl>
    <w:p>
      <w:pPr>
        <w:pStyle w:val="2"/>
      </w:pP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4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89"/>
        <w:gridCol w:w="1794"/>
        <w:gridCol w:w="853"/>
        <w:gridCol w:w="1166"/>
        <w:gridCol w:w="835"/>
        <w:gridCol w:w="986"/>
        <w:gridCol w:w="954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办公用品-包03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办公设备-包01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2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00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办公用品-包04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家供应商执行每件违规商品扣除0.0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商品类覆盖率未达到95%，根据采购协议扣分规则，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855"/>
        <w:gridCol w:w="1272"/>
        <w:gridCol w:w="1585"/>
        <w:gridCol w:w="3019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94.92%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94.57%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82.64%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27.27%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8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27.97%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1633"/>
        <w:gridCol w:w="1271"/>
        <w:gridCol w:w="1571"/>
        <w:gridCol w:w="303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3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_GB2312" w:eastAsia="仿宋_GB2312"/>
          <w:sz w:val="32"/>
          <w:szCs w:val="32"/>
          <w:highlight w:val="none"/>
        </w:rPr>
        <w:t>选标准商品库提报标准商品覆盖率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171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2110"/>
        <w:gridCol w:w="1304"/>
        <w:gridCol w:w="1560"/>
        <w:gridCol w:w="1159"/>
        <w:gridCol w:w="108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上架+待审商品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包1、包2、包4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28.21%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21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绿色通道提报商品覆盖率低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本月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</w:rPr>
        <w:t>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_GB2312" w:eastAsia="仿宋_GB2312"/>
          <w:sz w:val="32"/>
          <w:szCs w:val="32"/>
          <w:highlight w:val="none"/>
        </w:rPr>
        <w:t>绿色通道提报商品覆盖率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未达到2</w:t>
      </w:r>
      <w:r>
        <w:rPr>
          <w:rFonts w:hint="eastAsia" w:ascii="仿宋_GB2312" w:eastAsia="仿宋_GB2312"/>
          <w:sz w:val="32"/>
          <w:szCs w:val="32"/>
          <w:highlight w:val="none"/>
        </w:rPr>
        <w:t>0%，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原厂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商品类覆盖率未达到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%，</w:t>
      </w:r>
      <w:r>
        <w:rPr>
          <w:rFonts w:hint="eastAsia"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6-1、6-2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6-1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81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167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2690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17.46%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15.38%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15.05%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10.75%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10.00%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8.60%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3.85%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6-2</w:t>
      </w:r>
      <w:r>
        <w:rPr>
          <w:rFonts w:hint="eastAsia" w:ascii="宋体" w:hAnsi="宋体" w:eastAsia="宋体"/>
          <w:b/>
          <w:sz w:val="28"/>
          <w:szCs w:val="28"/>
        </w:rPr>
        <w:t xml:space="preserve"> 绿色通道提报商品覆盖率不足扣分表（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55"/>
        <w:gridCol w:w="1815"/>
        <w:gridCol w:w="1671"/>
        <w:gridCol w:w="2690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81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需求商品数量</w:t>
            </w:r>
          </w:p>
        </w:tc>
        <w:tc>
          <w:tcPr>
            <w:tcW w:w="1671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覆盖商品数量</w:t>
            </w:r>
          </w:p>
        </w:tc>
        <w:tc>
          <w:tcPr>
            <w:tcW w:w="26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</w:t>
      </w:r>
      <w:r>
        <w:rPr>
          <w:rFonts w:hint="eastAsia" w:ascii="仿宋_GB2312" w:eastAsia="仿宋_GB2312"/>
          <w:sz w:val="32"/>
          <w:szCs w:val="32"/>
          <w:highlight w:val="none"/>
        </w:rPr>
        <w:t>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货、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_GB2312" w:eastAsia="仿宋_GB2312"/>
          <w:sz w:val="32"/>
          <w:szCs w:val="32"/>
          <w:highlight w:val="none"/>
        </w:rPr>
        <w:t>、发票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_GB2312" w:eastAsia="仿宋_GB2312"/>
          <w:sz w:val="32"/>
          <w:szCs w:val="32"/>
          <w:highlight w:val="none"/>
        </w:rPr>
        <w:t>）占比大于3</w:t>
      </w:r>
      <w:r>
        <w:rPr>
          <w:rFonts w:ascii="仿宋_GB2312" w:eastAsia="仿宋_GB2312"/>
          <w:sz w:val="32"/>
          <w:szCs w:val="32"/>
          <w:highlight w:val="none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%，依据采</w:t>
      </w:r>
      <w:r>
        <w:rPr>
          <w:rFonts w:hint="eastAsia" w:ascii="仿宋_GB2312" w:eastAsia="仿宋_GB2312"/>
          <w:sz w:val="32"/>
          <w:szCs w:val="32"/>
        </w:rPr>
        <w:t>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7-1、7-2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46.34%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31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8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53.85%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海信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42.19%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家供应商履约过程未按协议要求维护订单物流信息（承运商、物流单号、物流节点及轨迹，考核节点“已发货、已揽收、运输中、已签收”），物流轨迹完整度不足60%，依据采购协议扣分规则，对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en-US" w:eastAsia="zh-CN" w:bidi="ar-SA"/>
        </w:rPr>
        <w:t>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highlight w:val="none"/>
          <w:lang w:val="de-DE" w:eastAsia="zh-CN" w:bidi="ar-SA"/>
        </w:rPr>
        <w:t>家供应商分别扣除0.1分。</w:t>
      </w:r>
      <w:r>
        <w:rPr>
          <w:rFonts w:hint="eastAsia" w:ascii="仿宋_GB2312" w:eastAsia="仿宋_GB2312"/>
          <w:sz w:val="32"/>
          <w:szCs w:val="32"/>
        </w:rPr>
        <w:t>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1"/>
        <w:gridCol w:w="887"/>
        <w:gridCol w:w="505"/>
        <w:gridCol w:w="604"/>
        <w:gridCol w:w="518"/>
        <w:gridCol w:w="604"/>
        <w:gridCol w:w="604"/>
        <w:gridCol w:w="604"/>
        <w:gridCol w:w="518"/>
        <w:gridCol w:w="451"/>
        <w:gridCol w:w="451"/>
        <w:gridCol w:w="604"/>
        <w:gridCol w:w="604"/>
        <w:gridCol w:w="571"/>
        <w:gridCol w:w="451"/>
        <w:gridCol w:w="50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齐心</w:t>
            </w:r>
          </w:p>
        </w:tc>
        <w:tc>
          <w:tcPr>
            <w:tcW w:w="50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4908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4057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1675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1474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4908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4908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1665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83%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34%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30%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34%</w:t>
            </w:r>
          </w:p>
        </w:tc>
        <w:tc>
          <w:tcPr>
            <w:tcW w:w="5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领先未来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140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135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140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140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18%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96%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咸亨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614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237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393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614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614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67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39%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64%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11%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京东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震坤行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0" w:type="auto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1"/>
        <w:gridCol w:w="887"/>
        <w:gridCol w:w="505"/>
        <w:gridCol w:w="604"/>
        <w:gridCol w:w="518"/>
        <w:gridCol w:w="604"/>
        <w:gridCol w:w="604"/>
        <w:gridCol w:w="604"/>
        <w:gridCol w:w="518"/>
        <w:gridCol w:w="451"/>
        <w:gridCol w:w="451"/>
        <w:gridCol w:w="604"/>
        <w:gridCol w:w="604"/>
        <w:gridCol w:w="571"/>
        <w:gridCol w:w="451"/>
        <w:gridCol w:w="50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45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扣分情况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惠普</w:t>
            </w:r>
          </w:p>
        </w:tc>
        <w:tc>
          <w:tcPr>
            <w:tcW w:w="50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157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157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157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157</w:t>
            </w:r>
          </w:p>
        </w:tc>
        <w:tc>
          <w:tcPr>
            <w:tcW w:w="5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1%</w:t>
            </w:r>
          </w:p>
        </w:tc>
        <w:tc>
          <w:tcPr>
            <w:tcW w:w="50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格力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海信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271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奥克斯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100%</w:t>
            </w:r>
          </w:p>
        </w:tc>
        <w:tc>
          <w:tcPr>
            <w:tcW w:w="45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0%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BEFDC5-6AA7-44B5-8251-FF41747011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F4694E1-6DA4-4724-BC35-540DC463D6F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73DA361E-E1D7-4321-962D-DD9A21EC2F6B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E127E89-409E-4A32-9289-E3F6ACA2F21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D5EF679-3B21-446A-9A9B-638273EDCBDF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67175B6F-F8C7-42A3-AB70-865E07C503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21DC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1</TotalTime>
  <ScaleCrop>false</ScaleCrop>
  <LinksUpToDate>false</LinksUpToDate>
  <CharactersWithSpaces>4651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HP</cp:lastModifiedBy>
  <cp:lastPrinted>2021-05-14T00:27:00Z</cp:lastPrinted>
  <dcterms:modified xsi:type="dcterms:W3CDTF">2024-05-13T06:09:09Z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2203DC46751442389D5DE487AB426B05_13</vt:lpwstr>
  </property>
</Properties>
</file>